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765D" w14:textId="77777777" w:rsidR="00F0700B" w:rsidRPr="007D791F" w:rsidRDefault="00F0700B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42B1720D" w14:textId="5873F7E7" w:rsidR="006F373F" w:rsidRPr="007D791F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>a</w:t>
      </w:r>
    </w:p>
    <w:p w14:paraId="2C712F25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II Zamówienia</w:t>
      </w:r>
    </w:p>
    <w:p w14:paraId="0D2A70CB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</w:p>
    <w:p w14:paraId="3035C0C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1930C857" w14:textId="77777777" w:rsidR="006F373F" w:rsidRPr="007D791F" w:rsidRDefault="006F373F" w:rsidP="006635FF">
      <w:pPr>
        <w:numPr>
          <w:ilvl w:val="0"/>
          <w:numId w:val="43"/>
        </w:numPr>
        <w:ind w:hanging="29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F8280BA" w14:textId="77777777" w:rsidR="006F373F" w:rsidRPr="007D791F" w:rsidRDefault="006F373F" w:rsidP="006635FF">
      <w:pPr>
        <w:numPr>
          <w:ilvl w:val="0"/>
          <w:numId w:val="43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C91589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7F000D17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400317B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51B1210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134D75DF" w14:textId="77777777" w:rsidR="006F373F" w:rsidRPr="007D791F" w:rsidRDefault="006F373F" w:rsidP="006635FF">
      <w:pPr>
        <w:numPr>
          <w:ilvl w:val="0"/>
          <w:numId w:val="44"/>
        </w:numPr>
        <w:ind w:hanging="29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DAF9B72" w14:textId="77777777" w:rsidR="006F373F" w:rsidRPr="007D791F" w:rsidRDefault="006F373F" w:rsidP="006635FF">
      <w:pPr>
        <w:numPr>
          <w:ilvl w:val="0"/>
          <w:numId w:val="44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4EB1710" w14:textId="77777777" w:rsidR="006F373F" w:rsidRDefault="006F373F" w:rsidP="006F3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14:paraId="79E0B8EB" w14:textId="182C906E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</w:t>
      </w:r>
      <w:r w:rsidRPr="00C05CC9">
        <w:rPr>
          <w:rFonts w:ascii="Tahoma" w:hAnsi="Tahoma" w:cs="Tahoma"/>
        </w:rPr>
        <w:t xml:space="preserve">stycznia 2004 r. </w:t>
      </w:r>
      <w:r w:rsidR="006E4138" w:rsidRPr="00C05CC9">
        <w:rPr>
          <w:rFonts w:ascii="Tahoma" w:hAnsi="Tahoma" w:cs="Tahoma"/>
        </w:rPr>
        <w:t>(</w:t>
      </w:r>
      <w:r w:rsidR="000C49BA" w:rsidRPr="000C49BA">
        <w:rPr>
          <w:rFonts w:ascii="Tahoma" w:hAnsi="Tahoma" w:cs="Tahoma"/>
        </w:rPr>
        <w:t>Dz. U. 2019 poz. 1843</w:t>
      </w:r>
      <w:r w:rsidR="006E4138" w:rsidRPr="00C05CC9">
        <w:rPr>
          <w:rFonts w:ascii="Tahoma" w:hAnsi="Tahoma" w:cs="Tahoma"/>
        </w:rPr>
        <w:t xml:space="preserve">), </w:t>
      </w:r>
      <w:r w:rsidRPr="00C05CC9">
        <w:rPr>
          <w:rFonts w:ascii="Tahoma" w:hAnsi="Tahoma" w:cs="Tahoma"/>
        </w:rPr>
        <w:t>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</w:t>
      </w:r>
      <w:r w:rsidRPr="007D791F">
        <w:rPr>
          <w:rFonts w:ascii="Tahoma" w:hAnsi="Tahoma" w:cs="Tahoma"/>
        </w:rPr>
        <w:t xml:space="preserve"> treści:</w:t>
      </w:r>
    </w:p>
    <w:p w14:paraId="3D23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61640C6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1EBF948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przyjmuje do ubezpieczenia mienie i odpowiedzialność Zamawiającego określone w Specyfikacji Istotnych Warunków Zamówienia, </w:t>
      </w:r>
      <w:r w:rsidR="00414103">
        <w:rPr>
          <w:rFonts w:ascii="Tahoma" w:hAnsi="Tahoma" w:cs="Tahoma"/>
        </w:rPr>
        <w:t xml:space="preserve">zwanej dalej SIWZ, </w:t>
      </w:r>
      <w:r w:rsidRPr="007D791F">
        <w:rPr>
          <w:rFonts w:ascii="Tahoma" w:hAnsi="Tahoma" w:cs="Tahoma"/>
        </w:rPr>
        <w:t>zgodnie z warunkami oferty z dnia…………………. złożonej w postępowaniu o udzielnie zamówienia na UBEZPIECZENIE MIENIA I ODPOWIEDZIALNOŚCI ZAMAWIAJĄCEGO, w ramach ubezpieczeń komunikacyjnych:</w:t>
      </w:r>
    </w:p>
    <w:p w14:paraId="36B25D35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odpowiedzialności cywilnej posiadaczy pojazdów mechanicznych,</w:t>
      </w:r>
    </w:p>
    <w:p w14:paraId="08F32B3C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NNW kierowcy i pasażerów,</w:t>
      </w:r>
    </w:p>
    <w:p w14:paraId="4C99E2B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469BAD0C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5D4A7708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CC5474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14:paraId="074CFCD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2F8C697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8B7F91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14:paraId="04DCAE6C" w14:textId="24D0D04C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Polisy ubezpieczeń komunikacyjnych (AC, OC, NNW, ASS) wystawione winny być nie później niż 7 dni przed początkiem okresu ubezpieczenia, przy czym wszystkie polisy ubezpieczeń komunikacyjnych, których okres ubezpieczenia rozpoczyna się w okresie realizacji zamówienia po dacie </w:t>
      </w:r>
      <w:r w:rsidR="00635193">
        <w:rPr>
          <w:rFonts w:ascii="Tahoma" w:hAnsi="Tahoma" w:cs="Tahoma"/>
        </w:rPr>
        <w:t xml:space="preserve">28.12 </w:t>
      </w:r>
      <w:r w:rsidRPr="007D791F">
        <w:rPr>
          <w:rFonts w:ascii="Tahoma" w:hAnsi="Tahoma" w:cs="Tahoma"/>
        </w:rPr>
        <w:t xml:space="preserve">każdego roku, winny być wystawione nie później niż do </w:t>
      </w:r>
      <w:r w:rsidR="00635193">
        <w:rPr>
          <w:rFonts w:ascii="Tahoma" w:hAnsi="Tahoma" w:cs="Tahoma"/>
        </w:rPr>
        <w:t>21</w:t>
      </w:r>
      <w:r w:rsidRPr="007D791F">
        <w:rPr>
          <w:rFonts w:ascii="Tahoma" w:hAnsi="Tahoma" w:cs="Tahoma"/>
        </w:rPr>
        <w:t xml:space="preserve"> każdego roku ubezpieczenia.</w:t>
      </w:r>
    </w:p>
    <w:p w14:paraId="211C1364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</w:p>
    <w:p w14:paraId="4D20B8F8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7B64F388" w14:textId="77777777" w:rsidR="006F373F" w:rsidRPr="007D791F" w:rsidRDefault="006F373F" w:rsidP="00EE74D7">
      <w:pPr>
        <w:numPr>
          <w:ilvl w:val="0"/>
          <w:numId w:val="39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6ADFA8C2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2159FA2A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13DECF17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65BB50D0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5E1822E3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5EFF4ACF" w14:textId="77777777" w:rsidR="006F373F" w:rsidRPr="007D791F" w:rsidRDefault="006F373F" w:rsidP="006F373F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14:paraId="02E5DA11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 przyjęciu zgłoszenia szkody Wykonawca zobowiązuje się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w terminie nie później niż </w:t>
      </w:r>
      <w:r w:rsidRPr="007D791F">
        <w:rPr>
          <w:rStyle w:val="Pogrubienie"/>
          <w:rFonts w:ascii="Tahoma" w:hAnsi="Tahoma" w:cs="Tahoma"/>
          <w:b w:val="0"/>
        </w:rPr>
        <w:t>2 dni</w:t>
      </w:r>
      <w:r w:rsidRPr="007D791F">
        <w:rPr>
          <w:rFonts w:ascii="Tahoma" w:hAnsi="Tahoma" w:cs="Tahoma"/>
        </w:rPr>
        <w:t xml:space="preserve"> roboczych od zgłoszenia szkody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do uzgodnienia z Zamawiającym dogodnego dla obu stron terminu oględzin/wstępnej </w:t>
      </w:r>
      <w:r w:rsidRPr="007D791F">
        <w:rPr>
          <w:rFonts w:ascii="Tahoma" w:hAnsi="Tahoma" w:cs="Tahoma"/>
        </w:rPr>
        <w:lastRenderedPageBreak/>
        <w:t xml:space="preserve">likwidacji. Termin oględzin/wstępnej likwidacji szkody powinien nastąpić </w:t>
      </w:r>
      <w:r w:rsidRPr="007D791F">
        <w:rPr>
          <w:rStyle w:val="Pogrubienie"/>
          <w:rFonts w:ascii="Tahoma" w:hAnsi="Tahoma" w:cs="Tahoma"/>
          <w:b w:val="0"/>
        </w:rPr>
        <w:t>w ciągu 3 dni</w:t>
      </w:r>
      <w:r w:rsidRPr="007D791F">
        <w:rPr>
          <w:rFonts w:ascii="Tahoma" w:hAnsi="Tahoma" w:cs="Tahoma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14:paraId="46EB831C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własności,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14:paraId="5411A735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wysokość szkody, np. kosztorys lub faktura </w:t>
      </w:r>
      <w:r w:rsidRPr="007D791F">
        <w:rPr>
          <w:rFonts w:ascii="Tahoma" w:hAnsi="Tahoma" w:cs="Tahoma"/>
          <w:bCs/>
        </w:rPr>
        <w:t>wraz z dokumentacją fotograficzną ukazującą rozmiar szkody.</w:t>
      </w:r>
    </w:p>
    <w:p w14:paraId="44488B86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2E1D6368" w14:textId="77777777" w:rsidR="006F373F" w:rsidRPr="00F62090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uznania odpowiedzialności za szkodę w mieniu Zamawiającego Wykonawca zobowiązuje się do wypłaty kwoty </w:t>
      </w:r>
      <w:r w:rsidRPr="00F62090">
        <w:rPr>
          <w:rFonts w:ascii="Tahoma" w:hAnsi="Tahoma" w:cs="Tahoma"/>
        </w:rPr>
        <w:t>bezspornej odszkodowania na rzecz Zamawiającego w terminie 30 dni od zgłoszenia szkody, zgodnie z art. 817 k.c.</w:t>
      </w:r>
    </w:p>
    <w:p w14:paraId="387B4A73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6CE3E40F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5 uważa się, że uznał on reklamację.</w:t>
      </w:r>
    </w:p>
    <w:p w14:paraId="7DB0FBD2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 przypadku kontaktów Wykonawcy z pełnomocnikiem</w:t>
      </w:r>
      <w:r w:rsidRPr="007D791F">
        <w:rPr>
          <w:rFonts w:ascii="Tahoma" w:hAnsi="Tahoma" w:cs="Tahoma"/>
        </w:rPr>
        <w:t xml:space="preserve"> Zamawiającego dopuszczalna jest forma kontaktowania za pośrednictwem poczty elektronicznej pod adresem: </w:t>
      </w:r>
      <w:hyperlink r:id="rId8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14:paraId="09B9A88B" w14:textId="48A65300" w:rsidR="006F373F" w:rsidRPr="00C05CC9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oświadcza, iż do rozpatrzenia roszczeń wystarczające są kopie dokumentów przesyłane w formie elektronicznej e-mailem lub faksem (nie będzie wymagane przesyłanie oryginałów dokumentów). </w:t>
      </w:r>
    </w:p>
    <w:p w14:paraId="32839CB6" w14:textId="1F6F99CA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Wykonawca oświadcza, że wszelkie wypłaty dla Zamawiającego (</w:t>
      </w:r>
      <w:r w:rsidR="00993FDB" w:rsidRPr="00C05CC9">
        <w:rPr>
          <w:rFonts w:ascii="Tahoma" w:hAnsi="Tahoma" w:cs="Tahoma"/>
        </w:rPr>
        <w:t>podmiotów ubezpieczonych w ramach niniejszego postępowania</w:t>
      </w:r>
      <w:r w:rsidRPr="00C05CC9">
        <w:rPr>
          <w:rFonts w:ascii="Tahoma" w:hAnsi="Tahoma" w:cs="Tahoma"/>
        </w:rPr>
        <w:t>) nie mogąc</w:t>
      </w:r>
      <w:r w:rsidR="00993FDB" w:rsidRPr="00C05CC9">
        <w:rPr>
          <w:rFonts w:ascii="Tahoma" w:hAnsi="Tahoma" w:cs="Tahoma"/>
        </w:rPr>
        <w:t>ego</w:t>
      </w:r>
      <w:r w:rsidRPr="007D791F">
        <w:rPr>
          <w:rFonts w:ascii="Tahoma" w:hAnsi="Tahoma" w:cs="Tahoma"/>
        </w:rPr>
        <w:t xml:space="preserve"> dokonać rozliczenia podatku VAT, będą przyznawane w wartości brutto.</w:t>
      </w:r>
    </w:p>
    <w:p w14:paraId="7E1FBF24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14:paraId="22F4BDC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2221D60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176BAE28" w14:textId="79D3B279" w:rsidR="00993FDB" w:rsidRDefault="006F373F" w:rsidP="0063519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1904EADB" w14:textId="77777777" w:rsidR="00993FDB" w:rsidRDefault="00993FDB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14:paraId="54B28021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5EEA44A2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w terminie 14 dni od początku okresu ubezpieczenia poszczególnych pojazdów Zamawiającego, w każdym roku ubezpieczenia.</w:t>
      </w:r>
    </w:p>
    <w:p w14:paraId="5C57E21A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289E4D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6F1C434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2A4DBF5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3B2C155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BAF80FD" w14:textId="77777777" w:rsidR="00BC0542" w:rsidRPr="007D791F" w:rsidRDefault="00BC0542" w:rsidP="00BC0542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9</w:t>
      </w:r>
    </w:p>
    <w:p w14:paraId="16F46312" w14:textId="79D436C8" w:rsidR="00BC0542" w:rsidRPr="007D791F" w:rsidRDefault="00BC0542" w:rsidP="00BC05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024E8">
        <w:rPr>
          <w:rFonts w:ascii="Tahoma" w:hAnsi="Tahoma" w:cs="Tahoma"/>
        </w:rPr>
        <w:t xml:space="preserve">W sprawach nieuregulowanych </w:t>
      </w:r>
      <w:r w:rsidRPr="00635193">
        <w:rPr>
          <w:rFonts w:ascii="Tahoma" w:hAnsi="Tahoma" w:cs="Tahoma"/>
        </w:rPr>
        <w:t>niniejszą umową, SIWZ i ofertą Wykonawcy, zastosowanie mają przepisy Ustawy z dnia 23 kwietnia 1964 r. - Kodeks cywilny (</w:t>
      </w:r>
      <w:r w:rsidR="00911753" w:rsidRPr="00635193">
        <w:rPr>
          <w:rFonts w:ascii="Tahoma" w:hAnsi="Tahoma" w:cs="Tahoma"/>
        </w:rPr>
        <w:t xml:space="preserve">(Dz.U. z 2019, poz. 1145) </w:t>
      </w:r>
      <w:r w:rsidRPr="00635193">
        <w:rPr>
          <w:rFonts w:ascii="Tahoma" w:hAnsi="Tahoma" w:cs="Tahoma"/>
        </w:rPr>
        <w:t>zwany dale</w:t>
      </w:r>
      <w:r w:rsidR="003558D4" w:rsidRPr="00635193">
        <w:rPr>
          <w:rFonts w:ascii="Tahoma" w:hAnsi="Tahoma" w:cs="Tahoma"/>
        </w:rPr>
        <w:t>j</w:t>
      </w:r>
      <w:r w:rsidRPr="00635193">
        <w:rPr>
          <w:rFonts w:ascii="Tahoma" w:hAnsi="Tahoma" w:cs="Tahoma"/>
        </w:rPr>
        <w:t xml:space="preserve"> Kodeksem cywilnym, Ustawy z dnia 11 września 2015 r. o działalności ubezpieczeniowej i reasekuracyjnej </w:t>
      </w:r>
      <w:r w:rsidR="009A47B8" w:rsidRPr="00635193">
        <w:rPr>
          <w:rFonts w:ascii="Tahoma" w:hAnsi="Tahoma" w:cs="Tahoma"/>
        </w:rPr>
        <w:t xml:space="preserve">(Dz. U. z 2019 r. poz. 381 z </w:t>
      </w:r>
      <w:proofErr w:type="spellStart"/>
      <w:r w:rsidR="009A47B8" w:rsidRPr="00635193">
        <w:rPr>
          <w:rFonts w:ascii="Tahoma" w:hAnsi="Tahoma" w:cs="Tahoma"/>
        </w:rPr>
        <w:t>późn</w:t>
      </w:r>
      <w:proofErr w:type="spellEnd"/>
      <w:r w:rsidR="009A47B8" w:rsidRPr="00635193">
        <w:rPr>
          <w:rFonts w:ascii="Tahoma" w:hAnsi="Tahoma" w:cs="Tahoma"/>
        </w:rPr>
        <w:t xml:space="preserve">. </w:t>
      </w:r>
      <w:proofErr w:type="spellStart"/>
      <w:r w:rsidR="009A47B8" w:rsidRPr="00635193">
        <w:rPr>
          <w:rFonts w:ascii="Tahoma" w:hAnsi="Tahoma" w:cs="Tahoma"/>
        </w:rPr>
        <w:t>zm</w:t>
      </w:r>
      <w:proofErr w:type="spellEnd"/>
      <w:r w:rsidR="009A47B8" w:rsidRPr="00635193">
        <w:rPr>
          <w:rFonts w:ascii="Tahoma" w:hAnsi="Tahoma" w:cs="Tahoma"/>
        </w:rPr>
        <w:t xml:space="preserve">), </w:t>
      </w:r>
      <w:r w:rsidR="00311736" w:rsidRPr="00635193">
        <w:rPr>
          <w:rFonts w:ascii="Tahoma" w:hAnsi="Tahoma" w:cs="Tahoma"/>
        </w:rPr>
        <w:lastRenderedPageBreak/>
        <w:t>Ustawy z dnia 15 grudnia 2017 r. o dystrybucji ubezpieczeń (Dz. U z 201</w:t>
      </w:r>
      <w:r w:rsidR="00A91C69" w:rsidRPr="00635193">
        <w:rPr>
          <w:rFonts w:ascii="Tahoma" w:hAnsi="Tahoma" w:cs="Tahoma"/>
        </w:rPr>
        <w:t>8</w:t>
      </w:r>
      <w:r w:rsidR="00311736" w:rsidRPr="00635193">
        <w:rPr>
          <w:rFonts w:ascii="Tahoma" w:hAnsi="Tahoma" w:cs="Tahoma"/>
        </w:rPr>
        <w:t xml:space="preserve"> r., poz. </w:t>
      </w:r>
      <w:r w:rsidR="00A91C69" w:rsidRPr="00635193">
        <w:rPr>
          <w:rFonts w:ascii="Tahoma" w:hAnsi="Tahoma" w:cs="Tahoma"/>
        </w:rPr>
        <w:t>2210</w:t>
      </w:r>
      <w:r w:rsidR="00311736" w:rsidRPr="00635193">
        <w:rPr>
          <w:rFonts w:ascii="Tahoma" w:hAnsi="Tahoma" w:cs="Tahoma"/>
        </w:rPr>
        <w:t xml:space="preserve"> </w:t>
      </w:r>
      <w:r w:rsidR="00311736" w:rsidRPr="00635193">
        <w:rPr>
          <w:rFonts w:ascii="Tahoma" w:hAnsi="Tahoma" w:cs="Tahoma"/>
        </w:rPr>
        <w:br/>
        <w:t xml:space="preserve">z </w:t>
      </w:r>
      <w:proofErr w:type="spellStart"/>
      <w:r w:rsidR="00311736" w:rsidRPr="00635193">
        <w:rPr>
          <w:rFonts w:ascii="Tahoma" w:hAnsi="Tahoma" w:cs="Tahoma"/>
        </w:rPr>
        <w:t>późn</w:t>
      </w:r>
      <w:proofErr w:type="spellEnd"/>
      <w:r w:rsidR="00311736" w:rsidRPr="00635193">
        <w:rPr>
          <w:rFonts w:ascii="Tahoma" w:hAnsi="Tahoma" w:cs="Tahoma"/>
        </w:rPr>
        <w:t xml:space="preserve">. zm.), </w:t>
      </w:r>
      <w:r w:rsidRPr="00635193">
        <w:rPr>
          <w:rFonts w:ascii="Tahoma" w:hAnsi="Tahoma" w:cs="Tahoma"/>
        </w:rPr>
        <w:t>Ustawy z dnia 22 maja 2003 r. o ubezpieczeniach obowiązkowych, Ubezpieczeniowym Funduszu Gwarancyjnym i Polskim Biurze Ubezpieczeń Komunikacyjnych (Dz.U. z 2018 poz. 473</w:t>
      </w:r>
      <w:r w:rsidR="007544DA" w:rsidRPr="00635193">
        <w:rPr>
          <w:rFonts w:ascii="Tahoma" w:hAnsi="Tahoma" w:cs="Tahoma"/>
        </w:rPr>
        <w:t xml:space="preserve"> z </w:t>
      </w:r>
      <w:proofErr w:type="spellStart"/>
      <w:r w:rsidR="007544DA" w:rsidRPr="00635193">
        <w:rPr>
          <w:rFonts w:ascii="Tahoma" w:hAnsi="Tahoma" w:cs="Tahoma"/>
        </w:rPr>
        <w:t>późn</w:t>
      </w:r>
      <w:proofErr w:type="spellEnd"/>
      <w:r w:rsidR="007544DA" w:rsidRPr="00635193">
        <w:rPr>
          <w:rFonts w:ascii="Tahoma" w:hAnsi="Tahoma" w:cs="Tahoma"/>
        </w:rPr>
        <w:t>. zm.</w:t>
      </w:r>
      <w:r w:rsidRPr="00635193">
        <w:rPr>
          <w:rFonts w:ascii="Tahoma" w:hAnsi="Tahoma" w:cs="Tahoma"/>
        </w:rPr>
        <w:t>) oraz postanowienia OWU tj.:</w:t>
      </w:r>
    </w:p>
    <w:p w14:paraId="38897870" w14:textId="77777777" w:rsidR="006F373F" w:rsidRPr="00F62090" w:rsidRDefault="006F373F" w:rsidP="006F373F">
      <w:pPr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0CDE44CC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4601ECFF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 ..............................................................................................................</w:t>
      </w:r>
    </w:p>
    <w:p w14:paraId="52EDD6E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4)  ..............................................................................................................</w:t>
      </w:r>
    </w:p>
    <w:p w14:paraId="0959C405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</w:t>
      </w:r>
      <w:r w:rsidR="00414103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>w ust. 1.</w:t>
      </w:r>
    </w:p>
    <w:p w14:paraId="53C1A977" w14:textId="77777777" w:rsidR="006F373F" w:rsidRPr="007D791F" w:rsidRDefault="006F373F" w:rsidP="006F373F">
      <w:pPr>
        <w:rPr>
          <w:rFonts w:ascii="Tahoma" w:hAnsi="Tahoma" w:cs="Tahoma"/>
        </w:rPr>
      </w:pPr>
    </w:p>
    <w:p w14:paraId="478F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10</w:t>
      </w:r>
    </w:p>
    <w:p w14:paraId="57524497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14:paraId="0A1E2DF3" w14:textId="77777777" w:rsidR="006F373F" w:rsidRPr="007D791F" w:rsidRDefault="006F373F" w:rsidP="00EE74D7">
      <w:pPr>
        <w:numPr>
          <w:ilvl w:val="1"/>
          <w:numId w:val="38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42D575A1" w14:textId="77777777" w:rsidR="006F373F" w:rsidRPr="007D791F" w:rsidRDefault="006F373F" w:rsidP="00EE74D7">
      <w:pPr>
        <w:numPr>
          <w:ilvl w:val="1"/>
          <w:numId w:val="38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120E7DBA" w14:textId="77777777" w:rsidR="006F373F" w:rsidRPr="007D791F" w:rsidRDefault="006F373F" w:rsidP="006F373F">
      <w:pPr>
        <w:ind w:left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w pozostałych przypadkach przewidzianych w Kodeksie Cywilnym</w:t>
      </w:r>
    </w:p>
    <w:p w14:paraId="50FA130C" w14:textId="77777777" w:rsidR="006F373F" w:rsidRPr="007D791F" w:rsidRDefault="006F373F" w:rsidP="00EE74D7">
      <w:pPr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7D791F">
        <w:rPr>
          <w:rFonts w:ascii="Tahoma" w:hAnsi="Tahoma" w:cs="Tahoma"/>
        </w:rPr>
        <w:br/>
        <w:t>i powinno zawierać uzasadnienie.</w:t>
      </w:r>
    </w:p>
    <w:p w14:paraId="24B9A255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</w:p>
    <w:p w14:paraId="00954ABC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fldChar w:fldCharType="begin"/>
      </w:r>
      <w:r w:rsidRPr="00CE7EC4">
        <w:rPr>
          <w:rFonts w:ascii="Tahoma" w:hAnsi="Tahoma" w:cs="Tahoma"/>
        </w:rPr>
        <w:instrText>\SYMBOL 167 \f "Times New Roman CE"</w:instrText>
      </w:r>
      <w:r w:rsidRPr="00CE7EC4">
        <w:rPr>
          <w:rFonts w:ascii="Tahoma" w:hAnsi="Tahoma" w:cs="Tahoma"/>
        </w:rPr>
        <w:fldChar w:fldCharType="end"/>
      </w:r>
      <w:r w:rsidRPr="00CE7EC4">
        <w:rPr>
          <w:rFonts w:ascii="Tahoma" w:hAnsi="Tahoma" w:cs="Tahoma"/>
        </w:rPr>
        <w:t xml:space="preserve"> 11</w:t>
      </w:r>
    </w:p>
    <w:p w14:paraId="7A60B615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6B362EC6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18AD63EF" w14:textId="77777777" w:rsidR="006F373F" w:rsidRPr="00CE7EC4" w:rsidRDefault="006F373F" w:rsidP="006F373F">
      <w:pPr>
        <w:jc w:val="center"/>
        <w:rPr>
          <w:rFonts w:ascii="Tahoma" w:hAnsi="Tahoma" w:cs="Tahoma"/>
        </w:rPr>
      </w:pPr>
    </w:p>
    <w:p w14:paraId="4EDF80FE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sym w:font="Times New Roman" w:char="00A7"/>
      </w:r>
      <w:r w:rsidRPr="00CE7EC4">
        <w:rPr>
          <w:rFonts w:ascii="Tahoma" w:hAnsi="Tahoma" w:cs="Tahoma"/>
        </w:rPr>
        <w:t xml:space="preserve"> 12</w:t>
      </w:r>
    </w:p>
    <w:p w14:paraId="6F6480D0" w14:textId="77777777" w:rsidR="006F373F" w:rsidRPr="007D791F" w:rsidRDefault="006F373F" w:rsidP="006F373F">
      <w:pPr>
        <w:ind w:left="284"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Zgodnie z art. 144 ust. 1 pkt. 1 Ustawy PZP Zamawiający przewiduje możliwość wprowadzenia niżej wymienionych zmian postanowień niniejszej umowy</w:t>
      </w:r>
      <w:r>
        <w:rPr>
          <w:rFonts w:ascii="Tahoma" w:hAnsi="Tahoma" w:cs="Tahoma"/>
        </w:rPr>
        <w:t xml:space="preserve">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14:paraId="7DAEA505" w14:textId="77777777" w:rsidR="006F373F" w:rsidRPr="007D791F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2FFD9B97" w14:textId="532AC5D1" w:rsidR="006F373F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</w:t>
      </w:r>
      <w:r w:rsidRPr="00C05CC9">
        <w:rPr>
          <w:rFonts w:ascii="Tahoma" w:hAnsi="Tahoma" w:cs="Tahoma"/>
        </w:rPr>
        <w:t>w ubezpieczeniach komunikacyjnych w przypadku ubezpieczenia pojazdów nabywanych przez Zamawiającego (</w:t>
      </w:r>
      <w:r w:rsidR="00B6255C" w:rsidRPr="00C05CC9">
        <w:rPr>
          <w:rFonts w:ascii="Tahoma" w:hAnsi="Tahoma" w:cs="Tahoma"/>
        </w:rPr>
        <w:t xml:space="preserve">podmioty podlegające ubezpieczeniu na podstawie niniejszego postępowania) w trakcie trwania umowy o udzielenie zamówienia publicznego oraz sprzedaży lub likwidacji pojazdów przez ww. podmioty i zmiany posiadacza pojazdów w tym okresie. Ostatnim dniem </w:t>
      </w:r>
      <w:r w:rsidR="00B6255C" w:rsidRPr="00F862EE">
        <w:rPr>
          <w:rFonts w:ascii="Tahoma" w:hAnsi="Tahoma" w:cs="Tahoma"/>
        </w:rPr>
        <w:t xml:space="preserve">umożliwiającym ubezpieczenie pojazdu na warunkach umowy o udzielenie zamówienia publicznego jest ostatni dzień obowiązywania umowy to jest </w:t>
      </w:r>
      <w:r w:rsidR="00F862EE" w:rsidRPr="00F862EE">
        <w:rPr>
          <w:rFonts w:ascii="Tahoma" w:hAnsi="Tahoma" w:cs="Tahoma"/>
        </w:rPr>
        <w:t>27.12.2019</w:t>
      </w:r>
      <w:r w:rsidR="00B6255C" w:rsidRPr="00F862EE">
        <w:rPr>
          <w:rFonts w:ascii="Tahoma" w:hAnsi="Tahoma" w:cs="Tahoma"/>
        </w:rPr>
        <w:t xml:space="preserve"> r.</w:t>
      </w:r>
      <w:r w:rsidR="00B6255C" w:rsidRPr="00F862EE">
        <w:rPr>
          <w:rFonts w:ascii="Tahoma" w:hAnsi="Tahoma" w:cs="Tahoma"/>
          <w:b/>
        </w:rPr>
        <w:t xml:space="preserve"> </w:t>
      </w:r>
      <w:r w:rsidRPr="00F862EE">
        <w:rPr>
          <w:rFonts w:ascii="Tahoma" w:hAnsi="Tahoma" w:cs="Tahoma"/>
        </w:rPr>
        <w:t xml:space="preserve">Maksymalnie okres ubezpieczenia pojazdów zakończy się dnia  </w:t>
      </w:r>
      <w:r w:rsidR="00F862EE" w:rsidRPr="00F862EE">
        <w:rPr>
          <w:rFonts w:ascii="Tahoma" w:hAnsi="Tahoma" w:cs="Tahoma"/>
        </w:rPr>
        <w:t>26.12.2023</w:t>
      </w:r>
      <w:r w:rsidRPr="00F862EE">
        <w:rPr>
          <w:rFonts w:ascii="Tahoma" w:hAnsi="Tahoma" w:cs="Tahoma"/>
        </w:rPr>
        <w:t>r. Składka będzie rozliczana zgodnie z zapisami klauzuli warunków i taryf;</w:t>
      </w:r>
    </w:p>
    <w:p w14:paraId="2F46C38D" w14:textId="4972B502" w:rsidR="006F373F" w:rsidRPr="00F862EE" w:rsidRDefault="006F373F" w:rsidP="00F862EE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F862EE">
        <w:rPr>
          <w:rFonts w:ascii="Tahoma" w:hAnsi="Tahoma" w:cs="Tahoma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14:paraId="056A38F4" w14:textId="4DFB52F6" w:rsidR="00B6255C" w:rsidRPr="00C05CC9" w:rsidRDefault="00B6255C" w:rsidP="00B6255C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dotyczące liczby jednostek organizacyjnych </w:t>
      </w:r>
      <w:r w:rsidRPr="00C05CC9">
        <w:rPr>
          <w:rFonts w:ascii="Tahoma" w:hAnsi="Tahoma" w:cs="Tahoma"/>
        </w:rPr>
        <w:t>Zamawiającego i innych podmiotów (osób prawnych) podlegających ubezpieczeniu i ich formy prawnej - w przypadku:</w:t>
      </w:r>
    </w:p>
    <w:p w14:paraId="5717A661" w14:textId="77777777" w:rsidR="00B6255C" w:rsidRPr="00C05CC9" w:rsidRDefault="00B6255C" w:rsidP="006635FF">
      <w:pPr>
        <w:numPr>
          <w:ilvl w:val="0"/>
          <w:numId w:val="82"/>
        </w:numPr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powstania nowych jednostek/osób prawnych (w wyniku utworzenia, połączenia lub wyodrębniania) - składka będzie rozliczana bądź naliczana zgodnie z, określonymi w SIWZ, zapisami klauzuli warunków i taryf;</w:t>
      </w:r>
    </w:p>
    <w:p w14:paraId="4156CADA" w14:textId="77777777" w:rsidR="00B6255C" w:rsidRPr="00C05CC9" w:rsidRDefault="00B6255C" w:rsidP="006635FF">
      <w:pPr>
        <w:numPr>
          <w:ilvl w:val="0"/>
          <w:numId w:val="82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przekształcenia jednostki/osoby prawnej – warunki ubezpieczenia będą nie gorsze jak dla jednostki/osoby prawnej pierwotnej;  </w:t>
      </w:r>
    </w:p>
    <w:p w14:paraId="7E59419C" w14:textId="77777777" w:rsidR="004036D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</w:t>
      </w:r>
      <w:r w:rsidR="004036DF" w:rsidRPr="00C05CC9">
        <w:rPr>
          <w:rFonts w:ascii="Tahoma" w:hAnsi="Tahoma" w:cs="Tahoma"/>
        </w:rPr>
        <w:t>jak dla jednostki zlikwidowanej;</w:t>
      </w:r>
    </w:p>
    <w:p w14:paraId="363DF877" w14:textId="413705F7" w:rsidR="006F373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lastRenderedPageBreak/>
        <w:t>włączenia dodatkowych jednostek/osób prawnych do ubezpieczenia w okresie</w:t>
      </w:r>
      <w:r w:rsidRPr="004036DF">
        <w:rPr>
          <w:rFonts w:ascii="Tahoma" w:hAnsi="Tahoma" w:cs="Tahoma"/>
        </w:rPr>
        <w:t xml:space="preserve"> realizacji zamówienia, na wniosek Zamawiającego i za zgodą </w:t>
      </w:r>
      <w:r w:rsidRPr="00C05CC9">
        <w:rPr>
          <w:rFonts w:ascii="Tahoma" w:hAnsi="Tahoma" w:cs="Tahoma"/>
        </w:rPr>
        <w:t>Wykonawcy – dotyczy to jednostek/osób prawnych, które nie były wykazane do ubezpieczenia w chwili udzielenia zamówienia publicznego Wykonawcy</w:t>
      </w:r>
      <w:r w:rsidR="006F373F" w:rsidRPr="00C05CC9">
        <w:rPr>
          <w:rFonts w:ascii="Tahoma" w:hAnsi="Tahoma" w:cs="Tahoma"/>
        </w:rPr>
        <w:t>;</w:t>
      </w:r>
    </w:p>
    <w:p w14:paraId="0271CDF8" w14:textId="77777777" w:rsidR="006F373F" w:rsidRPr="007D791F" w:rsidRDefault="006F373F" w:rsidP="00EE74D7">
      <w:pPr>
        <w:numPr>
          <w:ilvl w:val="0"/>
          <w:numId w:val="4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korzystnej dla Zamawiającego zmiany zakresu ubezpieczenia wynikające ze</w:t>
      </w:r>
      <w:r w:rsidRPr="007D791F">
        <w:rPr>
          <w:rFonts w:ascii="Tahoma" w:hAnsi="Tahoma" w:cs="Tahoma"/>
        </w:rPr>
        <w:t xml:space="preserve"> zmian OWU Wykonawcy oraz wprowadzenia nowych klauzul za zgodą Zamawiającego i Wykonawcy bez dodatkowej zwyżki składki;</w:t>
      </w:r>
    </w:p>
    <w:p w14:paraId="62F74350" w14:textId="77777777" w:rsidR="006F373F" w:rsidRPr="007D791F" w:rsidRDefault="006F373F" w:rsidP="00EE74D7">
      <w:pPr>
        <w:numPr>
          <w:ilvl w:val="0"/>
          <w:numId w:val="40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14:paraId="01387B18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6ED6F86B" w14:textId="1BE9E84B" w:rsidR="006F373F" w:rsidRPr="00F62090" w:rsidRDefault="006F373F" w:rsidP="006F373F">
      <w:pPr>
        <w:jc w:val="center"/>
        <w:rPr>
          <w:rFonts w:ascii="Tahoma" w:hAnsi="Tahoma" w:cs="Tahoma"/>
        </w:rPr>
      </w:pPr>
      <w:r w:rsidRPr="00F62090">
        <w:rPr>
          <w:rFonts w:ascii="Tahoma" w:hAnsi="Tahoma" w:cs="Tahoma"/>
        </w:rPr>
        <w:sym w:font="Times New Roman" w:char="00A7"/>
      </w:r>
      <w:r w:rsidRPr="00F62090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3</w:t>
      </w:r>
    </w:p>
    <w:p w14:paraId="4805239F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F62090">
        <w:rPr>
          <w:rFonts w:ascii="Tahoma" w:hAnsi="Tahoma" w:cs="Tahoma"/>
          <w:sz w:val="20"/>
          <w:szCs w:val="20"/>
        </w:rPr>
        <w:t>ych</w:t>
      </w:r>
      <w:proofErr w:type="spellEnd"/>
      <w:r w:rsidRPr="00F62090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8346ECB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5E8B2807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1B8B7CE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 xml:space="preserve">Adres poczty </w:t>
      </w:r>
      <w:r w:rsidRPr="00C05CC9">
        <w:rPr>
          <w:rFonts w:ascii="Tahoma" w:hAnsi="Tahoma" w:cs="Tahoma"/>
          <w:sz w:val="20"/>
          <w:szCs w:val="20"/>
        </w:rPr>
        <w:t>elektronicznej: …………………….</w:t>
      </w:r>
    </w:p>
    <w:p w14:paraId="51441E2F" w14:textId="77777777" w:rsidR="006F373F" w:rsidRPr="00C05CC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C05CC9">
        <w:rPr>
          <w:rFonts w:ascii="Tahoma" w:hAnsi="Tahoma" w:cs="Tahoma"/>
          <w:sz w:val="20"/>
          <w:szCs w:val="20"/>
        </w:rPr>
        <w:t>ych</w:t>
      </w:r>
      <w:proofErr w:type="spellEnd"/>
      <w:r w:rsidRPr="00C05CC9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</w:t>
      </w:r>
      <w:r w:rsidR="00BC0542" w:rsidRPr="00C05CC9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3D46D09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Imię i nazwisko: ……………………</w:t>
      </w:r>
    </w:p>
    <w:p w14:paraId="60BDBAD9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Nr telefonu: …………………….</w:t>
      </w:r>
    </w:p>
    <w:p w14:paraId="69B6104A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089BD196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CC40DC7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68518486" w14:textId="77777777" w:rsidR="006F373F" w:rsidRPr="00C05CC9" w:rsidRDefault="006F373F" w:rsidP="006F373F">
      <w:pPr>
        <w:pStyle w:val="Akapitzlist"/>
        <w:tabs>
          <w:tab w:val="left" w:pos="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A5604D7" w14:textId="33D15E39" w:rsidR="006F373F" w:rsidRPr="00C05CC9" w:rsidRDefault="006F373F" w:rsidP="006F373F">
      <w:pPr>
        <w:jc w:val="center"/>
        <w:rPr>
          <w:rFonts w:ascii="Tahoma" w:hAnsi="Tahoma" w:cs="Tahoma"/>
        </w:rPr>
      </w:pPr>
      <w:r w:rsidRPr="00C05CC9">
        <w:rPr>
          <w:rFonts w:ascii="Tahoma" w:hAnsi="Tahoma" w:cs="Tahoma"/>
        </w:rPr>
        <w:t>§ 1</w:t>
      </w:r>
      <w:r w:rsidR="00993FDB" w:rsidRPr="00C05CC9">
        <w:rPr>
          <w:rFonts w:ascii="Tahoma" w:hAnsi="Tahoma" w:cs="Tahoma"/>
        </w:rPr>
        <w:t>4</w:t>
      </w:r>
    </w:p>
    <w:p w14:paraId="71045EC1" w14:textId="18588F30" w:rsidR="006F373F" w:rsidRPr="007D791F" w:rsidRDefault="006F373F" w:rsidP="006F373F">
      <w:p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C05CC9">
        <w:rPr>
          <w:rFonts w:ascii="Tahoma" w:hAnsi="Tahoma" w:cs="Tahoma"/>
        </w:rPr>
        <w:br/>
        <w:t xml:space="preserve">z klauzulami dodatkowymi i wykazem </w:t>
      </w:r>
      <w:r w:rsidR="00993FDB" w:rsidRPr="00C05CC9">
        <w:rPr>
          <w:rFonts w:ascii="Tahoma" w:hAnsi="Tahoma" w:cs="Tahoma"/>
        </w:rPr>
        <w:t>ubezpieczonych</w:t>
      </w:r>
      <w:r w:rsidRPr="00C05CC9">
        <w:rPr>
          <w:rFonts w:ascii="Tahoma" w:hAnsi="Tahoma" w:cs="Tahoma"/>
        </w:rPr>
        <w:t>, stanowiące załącznik</w:t>
      </w:r>
      <w:r w:rsidRPr="007D791F">
        <w:rPr>
          <w:rFonts w:ascii="Tahoma" w:hAnsi="Tahoma" w:cs="Tahoma"/>
        </w:rPr>
        <w:t xml:space="preserve"> nr 1 do niniejszej umowy.</w:t>
      </w:r>
    </w:p>
    <w:p w14:paraId="457129CD" w14:textId="77777777" w:rsidR="00993FDB" w:rsidRDefault="00993FDB" w:rsidP="006F373F">
      <w:pPr>
        <w:jc w:val="center"/>
        <w:rPr>
          <w:rFonts w:ascii="Tahoma" w:hAnsi="Tahoma" w:cs="Tahoma"/>
        </w:rPr>
      </w:pPr>
    </w:p>
    <w:p w14:paraId="4FB40A39" w14:textId="033FE642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5</w:t>
      </w:r>
    </w:p>
    <w:p w14:paraId="48F90D2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1579EF27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1D8732E" w14:textId="1943E0E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6</w:t>
      </w:r>
    </w:p>
    <w:p w14:paraId="67C74E2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640F0377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2F04EB63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6AC6F1CE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13D522DA" w14:textId="71023611" w:rsidR="00993FDB" w:rsidRPr="00C05CC9" w:rsidRDefault="006F373F" w:rsidP="006635FF">
      <w:pPr>
        <w:pStyle w:val="Akapitzlist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Załącznik nr 1 – program ubezpieczenia mienia i odpowiedzialności Zamawiającego wraz z klauzulami dodatkowymi i wykazem </w:t>
      </w:r>
      <w:r w:rsidR="00993FDB" w:rsidRPr="00C05CC9">
        <w:rPr>
          <w:rFonts w:ascii="Tahoma" w:hAnsi="Tahoma" w:cs="Tahoma"/>
          <w:sz w:val="20"/>
          <w:szCs w:val="20"/>
        </w:rPr>
        <w:t>ubezpieczonych</w:t>
      </w:r>
      <w:r w:rsidRPr="00C05CC9">
        <w:rPr>
          <w:rFonts w:ascii="Tahoma" w:hAnsi="Tahoma" w:cs="Tahoma"/>
          <w:sz w:val="20"/>
          <w:szCs w:val="20"/>
        </w:rPr>
        <w:t>.</w:t>
      </w:r>
    </w:p>
    <w:p w14:paraId="7F4D2F00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F111719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1CE8F67E" w14:textId="17B22E2A" w:rsidR="006E7A49" w:rsidRPr="007D791F" w:rsidRDefault="006E7A49" w:rsidP="006F373F">
      <w:pPr>
        <w:rPr>
          <w:rFonts w:ascii="Tahoma" w:hAnsi="Tahoma" w:cs="Tahoma"/>
        </w:rPr>
      </w:pPr>
      <w:bookmarkStart w:id="0" w:name="_GoBack"/>
      <w:bookmarkEnd w:id="0"/>
    </w:p>
    <w:sectPr w:rsidR="006E7A49" w:rsidRPr="007D791F" w:rsidSect="002C0396">
      <w:footerReference w:type="default" r:id="rId9"/>
      <w:type w:val="continuous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00C18" w14:textId="77777777" w:rsidR="00A81758" w:rsidRDefault="00A81758">
      <w:r>
        <w:separator/>
      </w:r>
    </w:p>
  </w:endnote>
  <w:endnote w:type="continuationSeparator" w:id="0">
    <w:p w14:paraId="24285AF1" w14:textId="77777777" w:rsidR="00A81758" w:rsidRDefault="00A8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C2FE" w14:textId="0867E70F" w:rsidR="00131F36" w:rsidRPr="00D32CD4" w:rsidRDefault="00131F36" w:rsidP="00D32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3DFE" w14:textId="77777777" w:rsidR="00A81758" w:rsidRDefault="00A81758">
      <w:r>
        <w:separator/>
      </w:r>
    </w:p>
  </w:footnote>
  <w:footnote w:type="continuationSeparator" w:id="0">
    <w:p w14:paraId="000F8B85" w14:textId="77777777" w:rsidR="00A81758" w:rsidRDefault="00A8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0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1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7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1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6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6206B"/>
    <w:multiLevelType w:val="hybridMultilevel"/>
    <w:tmpl w:val="751C12BC"/>
    <w:lvl w:ilvl="0" w:tplc="06147A9C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3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3"/>
  </w:num>
  <w:num w:numId="3">
    <w:abstractNumId w:val="69"/>
  </w:num>
  <w:num w:numId="4">
    <w:abstractNumId w:val="30"/>
  </w:num>
  <w:num w:numId="5">
    <w:abstractNumId w:val="50"/>
  </w:num>
  <w:num w:numId="6">
    <w:abstractNumId w:val="12"/>
  </w:num>
  <w:num w:numId="7">
    <w:abstractNumId w:val="42"/>
  </w:num>
  <w:num w:numId="8">
    <w:abstractNumId w:val="31"/>
  </w:num>
  <w:num w:numId="9">
    <w:abstractNumId w:val="44"/>
  </w:num>
  <w:num w:numId="10">
    <w:abstractNumId w:val="37"/>
  </w:num>
  <w:num w:numId="11">
    <w:abstractNumId w:val="55"/>
  </w:num>
  <w:num w:numId="12">
    <w:abstractNumId w:val="49"/>
  </w:num>
  <w:num w:numId="13">
    <w:abstractNumId w:val="9"/>
  </w:num>
  <w:num w:numId="14">
    <w:abstractNumId w:val="23"/>
  </w:num>
  <w:num w:numId="15">
    <w:abstractNumId w:val="82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67"/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</w:num>
  <w:num w:numId="24">
    <w:abstractNumId w:val="58"/>
  </w:num>
  <w:num w:numId="25">
    <w:abstractNumId w:val="64"/>
  </w:num>
  <w:num w:numId="26">
    <w:abstractNumId w:val="18"/>
  </w:num>
  <w:num w:numId="27">
    <w:abstractNumId w:val="60"/>
  </w:num>
  <w:num w:numId="28">
    <w:abstractNumId w:val="71"/>
  </w:num>
  <w:num w:numId="29">
    <w:abstractNumId w:val="3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9"/>
  </w:num>
  <w:num w:numId="33">
    <w:abstractNumId w:val="68"/>
  </w:num>
  <w:num w:numId="34">
    <w:abstractNumId w:val="59"/>
  </w:num>
  <w:num w:numId="35">
    <w:abstractNumId w:val="39"/>
  </w:num>
  <w:num w:numId="36">
    <w:abstractNumId w:val="63"/>
  </w:num>
  <w:num w:numId="37">
    <w:abstractNumId w:val="45"/>
  </w:num>
  <w:num w:numId="38">
    <w:abstractNumId w:val="84"/>
  </w:num>
  <w:num w:numId="39">
    <w:abstractNumId w:val="65"/>
  </w:num>
  <w:num w:numId="40">
    <w:abstractNumId w:val="53"/>
  </w:num>
  <w:num w:numId="41">
    <w:abstractNumId w:val="32"/>
  </w:num>
  <w:num w:numId="42">
    <w:abstractNumId w:val="22"/>
  </w:num>
  <w:num w:numId="43">
    <w:abstractNumId w:val="75"/>
  </w:num>
  <w:num w:numId="44">
    <w:abstractNumId w:val="70"/>
  </w:num>
  <w:num w:numId="45">
    <w:abstractNumId w:val="57"/>
  </w:num>
  <w:num w:numId="46">
    <w:abstractNumId w:val="33"/>
  </w:num>
  <w:num w:numId="47">
    <w:abstractNumId w:val="77"/>
  </w:num>
  <w:num w:numId="48">
    <w:abstractNumId w:val="26"/>
  </w:num>
  <w:num w:numId="49">
    <w:abstractNumId w:val="19"/>
  </w:num>
  <w:num w:numId="50">
    <w:abstractNumId w:val="14"/>
  </w:num>
  <w:num w:numId="51">
    <w:abstractNumId w:val="17"/>
  </w:num>
  <w:num w:numId="52">
    <w:abstractNumId w:val="81"/>
  </w:num>
  <w:num w:numId="53">
    <w:abstractNumId w:val="54"/>
  </w:num>
  <w:num w:numId="54">
    <w:abstractNumId w:val="21"/>
  </w:num>
  <w:num w:numId="55">
    <w:abstractNumId w:val="47"/>
  </w:num>
  <w:num w:numId="56">
    <w:abstractNumId w:val="62"/>
  </w:num>
  <w:num w:numId="57">
    <w:abstractNumId w:val="24"/>
  </w:num>
  <w:num w:numId="58">
    <w:abstractNumId w:val="80"/>
  </w:num>
  <w:num w:numId="59">
    <w:abstractNumId w:val="72"/>
  </w:num>
  <w:num w:numId="60">
    <w:abstractNumId w:val="43"/>
  </w:num>
  <w:num w:numId="61">
    <w:abstractNumId w:val="66"/>
  </w:num>
  <w:num w:numId="62">
    <w:abstractNumId w:val="25"/>
  </w:num>
  <w:num w:numId="63">
    <w:abstractNumId w:val="27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15"/>
  </w:num>
  <w:num w:numId="67">
    <w:abstractNumId w:val="0"/>
  </w:num>
  <w:num w:numId="68">
    <w:abstractNumId w:val="7"/>
  </w:num>
  <w:num w:numId="69">
    <w:abstractNumId w:val="61"/>
  </w:num>
  <w:num w:numId="70">
    <w:abstractNumId w:val="48"/>
  </w:num>
  <w:num w:numId="71">
    <w:abstractNumId w:val="56"/>
  </w:num>
  <w:num w:numId="72">
    <w:abstractNumId w:val="28"/>
  </w:num>
  <w:num w:numId="73">
    <w:abstractNumId w:val="41"/>
  </w:num>
  <w:num w:numId="74">
    <w:abstractNumId w:val="20"/>
  </w:num>
  <w:num w:numId="75">
    <w:abstractNumId w:val="79"/>
  </w:num>
  <w:num w:numId="76">
    <w:abstractNumId w:val="16"/>
  </w:num>
  <w:num w:numId="77">
    <w:abstractNumId w:val="51"/>
  </w:num>
  <w:num w:numId="78">
    <w:abstractNumId w:val="35"/>
  </w:num>
  <w:num w:numId="79">
    <w:abstractNumId w:val="38"/>
  </w:num>
  <w:num w:numId="80">
    <w:abstractNumId w:val="52"/>
  </w:num>
  <w:num w:numId="81">
    <w:abstractNumId w:val="74"/>
  </w:num>
  <w:num w:numId="82">
    <w:abstractNumId w:val="85"/>
  </w:num>
  <w:num w:numId="83">
    <w:abstractNumId w:val="11"/>
  </w:num>
  <w:num w:numId="84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F"/>
    <w:rsid w:val="00015A3F"/>
    <w:rsid w:val="000246C7"/>
    <w:rsid w:val="000346DF"/>
    <w:rsid w:val="00040F6C"/>
    <w:rsid w:val="00085584"/>
    <w:rsid w:val="000862BE"/>
    <w:rsid w:val="000C49BA"/>
    <w:rsid w:val="000C7592"/>
    <w:rsid w:val="000D6050"/>
    <w:rsid w:val="000F2AEF"/>
    <w:rsid w:val="001002A1"/>
    <w:rsid w:val="00116354"/>
    <w:rsid w:val="001227C5"/>
    <w:rsid w:val="00131F36"/>
    <w:rsid w:val="00133724"/>
    <w:rsid w:val="001343B8"/>
    <w:rsid w:val="00135B4E"/>
    <w:rsid w:val="001375D2"/>
    <w:rsid w:val="00142C9E"/>
    <w:rsid w:val="001433DA"/>
    <w:rsid w:val="00152744"/>
    <w:rsid w:val="0015601D"/>
    <w:rsid w:val="00165C5D"/>
    <w:rsid w:val="00170125"/>
    <w:rsid w:val="0017104D"/>
    <w:rsid w:val="00172A37"/>
    <w:rsid w:val="001A1F9D"/>
    <w:rsid w:val="001A2D40"/>
    <w:rsid w:val="001A66F0"/>
    <w:rsid w:val="001C2992"/>
    <w:rsid w:val="001C4929"/>
    <w:rsid w:val="001C4EE7"/>
    <w:rsid w:val="00206795"/>
    <w:rsid w:val="00207185"/>
    <w:rsid w:val="00235779"/>
    <w:rsid w:val="00251CAA"/>
    <w:rsid w:val="00272282"/>
    <w:rsid w:val="00281B8C"/>
    <w:rsid w:val="002851B3"/>
    <w:rsid w:val="002A0C91"/>
    <w:rsid w:val="002A3F60"/>
    <w:rsid w:val="002A4836"/>
    <w:rsid w:val="002B5006"/>
    <w:rsid w:val="002C0396"/>
    <w:rsid w:val="002C4197"/>
    <w:rsid w:val="002E4EAD"/>
    <w:rsid w:val="003027C8"/>
    <w:rsid w:val="00311736"/>
    <w:rsid w:val="00312FFD"/>
    <w:rsid w:val="00317307"/>
    <w:rsid w:val="003218BE"/>
    <w:rsid w:val="00323CBF"/>
    <w:rsid w:val="00352264"/>
    <w:rsid w:val="003558D4"/>
    <w:rsid w:val="00357E71"/>
    <w:rsid w:val="00367014"/>
    <w:rsid w:val="003A5368"/>
    <w:rsid w:val="003C6C48"/>
    <w:rsid w:val="003D5F01"/>
    <w:rsid w:val="003E4BA1"/>
    <w:rsid w:val="003F0BB4"/>
    <w:rsid w:val="004036DF"/>
    <w:rsid w:val="00407EF3"/>
    <w:rsid w:val="00414103"/>
    <w:rsid w:val="004164F8"/>
    <w:rsid w:val="00417F92"/>
    <w:rsid w:val="0043050D"/>
    <w:rsid w:val="004342AC"/>
    <w:rsid w:val="00443525"/>
    <w:rsid w:val="00453E6F"/>
    <w:rsid w:val="004623AC"/>
    <w:rsid w:val="00481E48"/>
    <w:rsid w:val="00491984"/>
    <w:rsid w:val="004A7591"/>
    <w:rsid w:val="004C1A82"/>
    <w:rsid w:val="004F0F6D"/>
    <w:rsid w:val="00515DF5"/>
    <w:rsid w:val="00516826"/>
    <w:rsid w:val="00533B2B"/>
    <w:rsid w:val="00547FC3"/>
    <w:rsid w:val="0056141E"/>
    <w:rsid w:val="00561502"/>
    <w:rsid w:val="005919F9"/>
    <w:rsid w:val="00596CDE"/>
    <w:rsid w:val="005A6707"/>
    <w:rsid w:val="00635193"/>
    <w:rsid w:val="0063677F"/>
    <w:rsid w:val="00637C87"/>
    <w:rsid w:val="00647002"/>
    <w:rsid w:val="006472B7"/>
    <w:rsid w:val="00653249"/>
    <w:rsid w:val="006635FF"/>
    <w:rsid w:val="006721B3"/>
    <w:rsid w:val="00672F16"/>
    <w:rsid w:val="0067584D"/>
    <w:rsid w:val="00675B23"/>
    <w:rsid w:val="006821F6"/>
    <w:rsid w:val="00687B5A"/>
    <w:rsid w:val="0069635B"/>
    <w:rsid w:val="006A2146"/>
    <w:rsid w:val="006A3791"/>
    <w:rsid w:val="006B511F"/>
    <w:rsid w:val="006C1338"/>
    <w:rsid w:val="006D24EA"/>
    <w:rsid w:val="006D7DC1"/>
    <w:rsid w:val="006E4138"/>
    <w:rsid w:val="006E7A49"/>
    <w:rsid w:val="006F373F"/>
    <w:rsid w:val="007008DA"/>
    <w:rsid w:val="00722B23"/>
    <w:rsid w:val="00724647"/>
    <w:rsid w:val="00730968"/>
    <w:rsid w:val="007544DA"/>
    <w:rsid w:val="007661EE"/>
    <w:rsid w:val="00792716"/>
    <w:rsid w:val="007B3ADB"/>
    <w:rsid w:val="007C5432"/>
    <w:rsid w:val="007F1410"/>
    <w:rsid w:val="0080630B"/>
    <w:rsid w:val="00806AE5"/>
    <w:rsid w:val="00810296"/>
    <w:rsid w:val="00816F66"/>
    <w:rsid w:val="00844817"/>
    <w:rsid w:val="00866A89"/>
    <w:rsid w:val="00867455"/>
    <w:rsid w:val="00872622"/>
    <w:rsid w:val="00880FB9"/>
    <w:rsid w:val="008A0041"/>
    <w:rsid w:val="008B5540"/>
    <w:rsid w:val="008B6235"/>
    <w:rsid w:val="008B6CB0"/>
    <w:rsid w:val="008C1A77"/>
    <w:rsid w:val="008C6475"/>
    <w:rsid w:val="008C71F9"/>
    <w:rsid w:val="008E7F39"/>
    <w:rsid w:val="008F01F8"/>
    <w:rsid w:val="008F3CAE"/>
    <w:rsid w:val="00911753"/>
    <w:rsid w:val="00930BFA"/>
    <w:rsid w:val="00956563"/>
    <w:rsid w:val="009776E3"/>
    <w:rsid w:val="009809E1"/>
    <w:rsid w:val="00993FDB"/>
    <w:rsid w:val="009A47B8"/>
    <w:rsid w:val="009A7017"/>
    <w:rsid w:val="009C60AD"/>
    <w:rsid w:val="009D6F7F"/>
    <w:rsid w:val="00A12FD5"/>
    <w:rsid w:val="00A161F0"/>
    <w:rsid w:val="00A224E9"/>
    <w:rsid w:val="00A24B6B"/>
    <w:rsid w:val="00A45E24"/>
    <w:rsid w:val="00A53324"/>
    <w:rsid w:val="00A533E7"/>
    <w:rsid w:val="00A75652"/>
    <w:rsid w:val="00A81758"/>
    <w:rsid w:val="00A8280F"/>
    <w:rsid w:val="00A91C69"/>
    <w:rsid w:val="00A95198"/>
    <w:rsid w:val="00AA5EB8"/>
    <w:rsid w:val="00AB13A7"/>
    <w:rsid w:val="00AB5124"/>
    <w:rsid w:val="00AD1C2F"/>
    <w:rsid w:val="00AD635D"/>
    <w:rsid w:val="00AD70E9"/>
    <w:rsid w:val="00AE194F"/>
    <w:rsid w:val="00AF2D3A"/>
    <w:rsid w:val="00AF5CE7"/>
    <w:rsid w:val="00B445F8"/>
    <w:rsid w:val="00B5545B"/>
    <w:rsid w:val="00B6255C"/>
    <w:rsid w:val="00B8002D"/>
    <w:rsid w:val="00B80D13"/>
    <w:rsid w:val="00B9639A"/>
    <w:rsid w:val="00BC0542"/>
    <w:rsid w:val="00BC1BFD"/>
    <w:rsid w:val="00BC21A7"/>
    <w:rsid w:val="00BC6A55"/>
    <w:rsid w:val="00BD4069"/>
    <w:rsid w:val="00BE3798"/>
    <w:rsid w:val="00C03E0B"/>
    <w:rsid w:val="00C05CC9"/>
    <w:rsid w:val="00C134C5"/>
    <w:rsid w:val="00C159E1"/>
    <w:rsid w:val="00C22DBC"/>
    <w:rsid w:val="00C77A75"/>
    <w:rsid w:val="00C86457"/>
    <w:rsid w:val="00C92F44"/>
    <w:rsid w:val="00C94D13"/>
    <w:rsid w:val="00CA597F"/>
    <w:rsid w:val="00CB467A"/>
    <w:rsid w:val="00CC5457"/>
    <w:rsid w:val="00CC5C83"/>
    <w:rsid w:val="00CD492D"/>
    <w:rsid w:val="00CD6E0D"/>
    <w:rsid w:val="00CE658F"/>
    <w:rsid w:val="00CF583C"/>
    <w:rsid w:val="00CF72BC"/>
    <w:rsid w:val="00D1518A"/>
    <w:rsid w:val="00D32CD4"/>
    <w:rsid w:val="00D348E2"/>
    <w:rsid w:val="00D37752"/>
    <w:rsid w:val="00D64C62"/>
    <w:rsid w:val="00D720AD"/>
    <w:rsid w:val="00D7647D"/>
    <w:rsid w:val="00D82FAB"/>
    <w:rsid w:val="00D86749"/>
    <w:rsid w:val="00D9070F"/>
    <w:rsid w:val="00DB3D38"/>
    <w:rsid w:val="00DB77C7"/>
    <w:rsid w:val="00DC7D1F"/>
    <w:rsid w:val="00DD63EB"/>
    <w:rsid w:val="00E14AB7"/>
    <w:rsid w:val="00E16CE9"/>
    <w:rsid w:val="00E23CD0"/>
    <w:rsid w:val="00E31E33"/>
    <w:rsid w:val="00E3575B"/>
    <w:rsid w:val="00E37132"/>
    <w:rsid w:val="00E37543"/>
    <w:rsid w:val="00E46D7B"/>
    <w:rsid w:val="00E5009C"/>
    <w:rsid w:val="00E515F6"/>
    <w:rsid w:val="00E709B3"/>
    <w:rsid w:val="00E7259C"/>
    <w:rsid w:val="00E748E8"/>
    <w:rsid w:val="00E91434"/>
    <w:rsid w:val="00E93944"/>
    <w:rsid w:val="00EC714E"/>
    <w:rsid w:val="00ED0AC5"/>
    <w:rsid w:val="00ED5D38"/>
    <w:rsid w:val="00EE4FB1"/>
    <w:rsid w:val="00EE74D7"/>
    <w:rsid w:val="00EF1221"/>
    <w:rsid w:val="00EF2391"/>
    <w:rsid w:val="00EF52EF"/>
    <w:rsid w:val="00F03A5C"/>
    <w:rsid w:val="00F0700B"/>
    <w:rsid w:val="00F247B6"/>
    <w:rsid w:val="00F43979"/>
    <w:rsid w:val="00F57D9D"/>
    <w:rsid w:val="00F62090"/>
    <w:rsid w:val="00F749EC"/>
    <w:rsid w:val="00F761E2"/>
    <w:rsid w:val="00F862EE"/>
    <w:rsid w:val="00F91F5B"/>
    <w:rsid w:val="00F928CD"/>
    <w:rsid w:val="00FA41A9"/>
    <w:rsid w:val="00FB76CC"/>
    <w:rsid w:val="00FD24EC"/>
    <w:rsid w:val="00FE1A02"/>
    <w:rsid w:val="00FE53D7"/>
    <w:rsid w:val="00FE6BA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uiPriority w:val="99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customStyle="1" w:styleId="Stylwiadomocie-mail94">
    <w:name w:val="Styl wiadomości e-mail 94"/>
    <w:semiHidden/>
    <w:rsid w:val="00872622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09DA-A374-4640-AF49-85A31B71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wojtekfrackiewicz@o2.pl</cp:lastModifiedBy>
  <cp:revision>4</cp:revision>
  <cp:lastPrinted>2019-10-16T11:47:00Z</cp:lastPrinted>
  <dcterms:created xsi:type="dcterms:W3CDTF">2019-11-05T08:49:00Z</dcterms:created>
  <dcterms:modified xsi:type="dcterms:W3CDTF">2019-11-05T10:27:00Z</dcterms:modified>
</cp:coreProperties>
</file>